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/>
        <w:jc w:val="right"/>
      </w:pPr>
      <w:r>
        <w:rPr>
          <w:rFonts w:ascii="Arial" w:cs="Arial" w:eastAsia="Arial" w:hAnsi="Arial" w:hint="cs"/>
          <w:b/>
          <w:bCs/>
          <w:color w:val="1F3A5F"/>
          <w:sz w:val="34"/>
          <w:szCs w:val="34"/>
          <w:rtl/>
        </w:rPr>
        <w:t xml:space="preserve">نموذج تقييم الأداء الوظيفي</w:t>
      </w:r>
    </w:p>
    <w:p>
      <w:pPr>
        <w:pBdr>
          <w:bottom w:val="single" w:color="1F3A5F" w:sz="8" w:space="4"/>
        </w:pBdr>
        <w:bidi/>
        <w:spacing w:after="200"/>
        <w:jc w:val="right"/>
      </w:pPr>
      <w:r>
        <w:rPr>
          <w:rFonts w:ascii="Arial" w:cs="Arial" w:eastAsia="Arial" w:hAnsi="Arial" w:hint="cs"/>
          <w:color w:val="444444"/>
          <w:sz w:val="19"/>
          <w:szCs w:val="19"/>
          <w:rtl/>
        </w:rPr>
        <w:t xml:space="preserve">يُستخدم هذا النموذج في التقييم السنوي (أو نصف السنوي) للموظفين الإداريين والفنيين. يتكون التقييم من عنصرين: الأهداف (ماذا أنجز الموظف؟) والجدارات (كيف أنجزه؟). يُقيَّم كل هدف وكل جدارة بمقياس من 1 إلى 5، ثم يُحسب التقدير العام وفق الأوزان المعتمدة في سياسة المنشأة. يُعبأ القسمان 3 و4 في بداية الدورة عند الاتفاق على خطة الأداء، وتُستكمل بقية الأقسام في نهاية الدورة بعد التقييم الذاتي للموظف.</w:t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1. بيانات الموظف وفترة التقييم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  <w:gridCol w:w="3663"/>
      </w:tblGrid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اسم الموظف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الرقم الوظيفي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المسمى الوظيفي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الإدارة / القسم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الفرع / الموقع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تاريخ الالتحاق بالوظيفة الحالية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اسم المدير المباشر (المقيّم)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اسم المعتمد (مدير المدير المباشر)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فترة التقييم: من ... إلى ...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نوع التقييم (سنوي / نصف سنوي / نهاية فترة التجربة)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نوع الوظيفة (إشرافية / غير إشرافية)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2. مفتاح مقياس التقدير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6"/>
        <w:gridCol w:w="2616"/>
        <w:gridCol w:w="2616"/>
        <w:gridCol w:w="2618"/>
      </w:tblGrid>
      <w:tr>
        <w:trPr>
          <w:tblHeader/>
        </w:trPr>
        <w:tc>
          <w:tcPr>
            <w:tcW w:type="dxa" w:w="2616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الدرجة</w:t>
            </w:r>
          </w:p>
        </w:tc>
        <w:tc>
          <w:tcPr>
            <w:tcW w:type="dxa" w:w="2616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2616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دلالتها في الأهداف (قابلة للتعديل)</w:t>
            </w:r>
          </w:p>
        </w:tc>
        <w:tc>
          <w:tcPr>
            <w:tcW w:type="dxa" w:w="2618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دلالتها في الجدارات</w:t>
            </w:r>
          </w:p>
        </w:tc>
      </w:tr>
      <w:tr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ممتاز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تجاوز المستهدف بوضوح (أكثر من 110%)</w:t>
            </w:r>
          </w:p>
        </w:tc>
        <w:tc>
          <w:tcPr>
            <w:tcW w:type="dxa" w:w="261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يُظهر السلوك باستمرار ويُعد قدوة لغيره</w:t>
            </w:r>
          </w:p>
        </w:tc>
      </w:tr>
      <w:tr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جيد جداً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حقق المستهدف كاملاً (100–110%)</w:t>
            </w:r>
          </w:p>
        </w:tc>
        <w:tc>
          <w:tcPr>
            <w:tcW w:type="dxa" w:w="261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يُظهر السلوك في معظم المواقف دون توجيه</w:t>
            </w:r>
          </w:p>
        </w:tc>
      </w:tr>
      <w:tr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جيد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قريب من المستهدف (90–99%)</w:t>
            </w:r>
          </w:p>
        </w:tc>
        <w:tc>
          <w:tcPr>
            <w:tcW w:type="dxa" w:w="261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يُظهر السلوك في المواقف المعتادة</w:t>
            </w:r>
          </w:p>
        </w:tc>
      </w:tr>
      <w:tr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مرضٍ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دون المستهدف (70–89%)</w:t>
            </w:r>
          </w:p>
        </w:tc>
        <w:tc>
          <w:tcPr>
            <w:tcW w:type="dxa" w:w="261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يُظهر السلوك أحياناً ويحتاج إلى متابعة</w:t>
            </w:r>
          </w:p>
        </w:tc>
      </w:tr>
      <w:tr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غير مرضٍ</w:t>
            </w:r>
          </w:p>
        </w:tc>
        <w:tc>
          <w:tcPr>
            <w:tcW w:type="dxa" w:w="26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دون المستهدف بفارق كبير (أقل من 70%)</w:t>
            </w:r>
          </w:p>
        </w:tc>
        <w:tc>
          <w:tcPr>
            <w:tcW w:type="dxa" w:w="261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لا يُظهر السلوك بالمستوى المقبول</w:t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ملاحظة: يُطلب من المقيّم تقديم أمثلة أو أدلة موثقة لأي تقدير بدرجة 5 أو 1.</w:t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3. تقييم الأهداف</w:t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اكتب من 4 إلى 6 أهداف بأسلوب SMART (محدد، قابل للقياس، قابل للتحقيق، ذو صلة، محدد بزمن). يجب أن يكون مجموع الأوزان 100%، وألا يقل وزن أي هدف عن 10%. التقدير الموزون = التقدير × الوزن. الصف المظلل مثال للتوضيح فقط.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5"/>
        <w:gridCol w:w="1495"/>
        <w:gridCol w:w="1495"/>
        <w:gridCol w:w="1495"/>
        <w:gridCol w:w="1495"/>
        <w:gridCol w:w="1495"/>
        <w:gridCol w:w="1496"/>
      </w:tblGrid>
      <w:tr>
        <w:trPr>
          <w:tblHeader/>
        </w:trPr>
        <w:tc>
          <w:tcPr>
            <w:tcW w:type="dxa" w:w="1495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الهدف</w:t>
            </w:r>
          </w:p>
        </w:tc>
        <w:tc>
          <w:tcPr>
            <w:tcW w:type="dxa" w:w="1495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الوزن %</w:t>
            </w:r>
          </w:p>
        </w:tc>
        <w:tc>
          <w:tcPr>
            <w:tcW w:type="dxa" w:w="1495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مؤشر القياس ومصدر البيانات</w:t>
            </w:r>
          </w:p>
        </w:tc>
        <w:tc>
          <w:tcPr>
            <w:tcW w:type="dxa" w:w="1495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القيمة المستهدفة</w:t>
            </w:r>
          </w:p>
        </w:tc>
        <w:tc>
          <w:tcPr>
            <w:tcW w:type="dxa" w:w="1495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المتحقق الفعلي</w:t>
            </w:r>
          </w:p>
        </w:tc>
        <w:tc>
          <w:tcPr>
            <w:tcW w:type="dxa" w:w="1495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التقدير (1–5)</w:t>
            </w:r>
          </w:p>
        </w:tc>
        <w:tc>
          <w:tcPr>
            <w:tcW w:type="dxa" w:w="1496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التقدير الموزون</w:t>
            </w:r>
          </w:p>
        </w:tc>
      </w:tr>
      <w:tr>
        <w:tc>
          <w:tcPr>
            <w:tcW w:type="dxa" w:w="1495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تحقيق مبيعات سنوية للقسم بقيمة 4,000,000 ريال حتى نهاية ديسمبر</w:t>
            </w:r>
          </w:p>
        </w:tc>
        <w:tc>
          <w:tcPr>
            <w:tcW w:type="dxa" w:w="1495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40%</w:t>
            </w:r>
          </w:p>
        </w:tc>
        <w:tc>
          <w:tcPr>
            <w:tcW w:type="dxa" w:w="1495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قيمة المبيعات الفعلية من تقرير نظام نقاط البيع</w:t>
            </w:r>
          </w:p>
        </w:tc>
        <w:tc>
          <w:tcPr>
            <w:tcW w:type="dxa" w:w="1495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4,000,000 ريال</w:t>
            </w:r>
          </w:p>
        </w:tc>
        <w:tc>
          <w:tcPr>
            <w:tcW w:type="dxa" w:w="1495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4,200,000 ريال (105%)</w:t>
            </w:r>
          </w:p>
        </w:tc>
        <w:tc>
          <w:tcPr>
            <w:tcW w:type="dxa" w:w="1495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496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1.60</w:t>
            </w:r>
          </w:p>
        </w:tc>
      </w:tr>
      <w:tr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49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  <w:gridCol w:w="3663"/>
      </w:tblGrid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مجموع الأوزان (يجب أن يساوي 100%)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التقدير الموزون للأهداف (مجموع عمود التقدير الموزون)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4. تقييم الجدارات</w:t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اختر من 4 إلى 6 جدارات مرتبطة بالوظيفة، واكتب لكل منها وصفاً سلوكياً قابلاً للملاحظة. مجموع أوزان الجدارات 100%.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4"/>
        <w:gridCol w:w="1744"/>
        <w:gridCol w:w="1744"/>
        <w:gridCol w:w="1744"/>
        <w:gridCol w:w="1744"/>
        <w:gridCol w:w="1746"/>
      </w:tblGrid>
      <w:tr>
        <w:trPr>
          <w:tblHeader/>
        </w:trPr>
        <w:tc>
          <w:tcPr>
            <w:tcW w:type="dxa" w:w="1744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الجدارة</w:t>
            </w:r>
          </w:p>
        </w:tc>
        <w:tc>
          <w:tcPr>
            <w:tcW w:type="dxa" w:w="1744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الوصف السلوكي المتوقع</w:t>
            </w:r>
          </w:p>
        </w:tc>
        <w:tc>
          <w:tcPr>
            <w:tcW w:type="dxa" w:w="1744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الوزن %</w:t>
            </w:r>
          </w:p>
        </w:tc>
        <w:tc>
          <w:tcPr>
            <w:tcW w:type="dxa" w:w="1744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التقدير (1–5)</w:t>
            </w:r>
          </w:p>
        </w:tc>
        <w:tc>
          <w:tcPr>
            <w:tcW w:type="dxa" w:w="1744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التقدير الموزون</w:t>
            </w:r>
          </w:p>
        </w:tc>
        <w:tc>
          <w:tcPr>
            <w:tcW w:type="dxa" w:w="1746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أمثلة / أدلة من العمل</w:t>
            </w:r>
          </w:p>
        </w:tc>
      </w:tr>
      <w:tr>
        <w:tc>
          <w:tcPr>
            <w:tcW w:type="dxa" w:w="1744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خدمة العملاء</w:t>
            </w:r>
          </w:p>
        </w:tc>
        <w:tc>
          <w:tcPr>
            <w:tcW w:type="dxa" w:w="1744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يستجيب لطلبات العملاء بسرعة، ويتابع الشكوى حتى إغلاقها، ويقترح حلولاً تمنع تكرارها</w:t>
            </w:r>
          </w:p>
        </w:tc>
        <w:tc>
          <w:tcPr>
            <w:tcW w:type="dxa" w:w="1744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25%</w:t>
            </w:r>
          </w:p>
        </w:tc>
        <w:tc>
          <w:tcPr>
            <w:tcW w:type="dxa" w:w="1744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744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1.00</w:t>
            </w:r>
          </w:p>
        </w:tc>
        <w:tc>
          <w:tcPr>
            <w:tcW w:type="dxa" w:w="1746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أغلق شكوى متكررة عن تأخر التوصيل باقتراح جدول تسليم جديد</w:t>
            </w:r>
          </w:p>
        </w:tc>
      </w:tr>
      <w:tr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74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  <w:gridCol w:w="3663"/>
      </w:tblGrid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التقدير الموزون للجدارات (مجموع عمود التقدير الموزون)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5. حساب التقدير العام</w:t>
      </w:r>
    </w:p>
    <w:p>
      <w:pPr>
        <w:pStyle w:val="ListParagraph"/>
        <w:numPr>
          <w:ilvl w:val="0"/>
          <w:numId w:val="2"/>
        </w:numPr>
        <w:bidi/>
        <w:spacing w:after="6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التقدير العام = (التقدير الموزون للأهداف × الأهمية النسبية للأهداف) + (التقدير الموزون للجدارات × الأهمية النسبية للجدارات).</w:t>
      </w:r>
    </w:p>
    <w:p>
      <w:pPr>
        <w:pStyle w:val="ListParagraph"/>
        <w:numPr>
          <w:ilvl w:val="0"/>
          <w:numId w:val="2"/>
        </w:numPr>
        <w:bidi/>
        <w:spacing w:after="6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الأهمية النسبية تحددها سياسة المنشأة، ومثالها: 60% للأهداف و40% للجدارات.</w:t>
      </w:r>
    </w:p>
    <w:p>
      <w:pPr>
        <w:pStyle w:val="ListParagraph"/>
        <w:numPr>
          <w:ilvl w:val="0"/>
          <w:numId w:val="2"/>
        </w:numPr>
        <w:bidi/>
        <w:spacing w:after="6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مثال: (3.50 × 60%) + (3.75 × 40%) = 2.10 + 1.50 = 3.60 = جيد جداً.</w:t>
      </w:r>
    </w:p>
    <w:p>
      <w:pPr>
        <w:pStyle w:val="ListParagraph"/>
        <w:numPr>
          <w:ilvl w:val="0"/>
          <w:numId w:val="2"/>
        </w:numPr>
        <w:bidi/>
        <w:spacing w:after="6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جدول التحويل: 4.50 فأكثر = ممتاز، 3.50–4.49 = جيد جداً، 2.50–3.49 = جيد، 1.50–2.49 = مرضٍ، أقل من 1.50 = غير مرضٍ.</w:t>
      </w:r>
    </w:p>
    <w:p>
      <w:pPr>
        <w:pStyle w:val="ListParagraph"/>
        <w:numPr>
          <w:ilvl w:val="0"/>
          <w:numId w:val="2"/>
        </w:numPr>
        <w:bidi/>
        <w:spacing w:after="60"/>
        <w:jc w:val="right"/>
      </w:pPr>
      <w:r>
        <w:rPr>
          <w:rFonts w:ascii="Arial" w:cs="Arial" w:eastAsia="Arial" w:hAnsi="Arial" w:hint="cs"/>
          <w:sz w:val="20"/>
          <w:szCs w:val="20"/>
          <w:rtl/>
        </w:rPr>
        <w:t xml:space="preserve">في الجهات الحكومية تُتبع النماذج والأوزان والنسب التي تحددها الجهة المختصة.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  <w:gridCol w:w="3663"/>
      </w:tblGrid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الأهمية النسبية للأهداف %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الأهمية النسبية للجدارات %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التقدير العام (رقمياً)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وصف التقدير العام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هل خضع التقدير للمعايرة؟ (نعم / لا) وتاريخها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6. نقاط القوة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7. مجالات التطوير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pBdr>
          <w:bottom w:val="dotted" w:color="999999" w:sz="4" w:space="6"/>
        </w:pBd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8. خطة التطوير الفردية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93"/>
        <w:gridCol w:w="2093"/>
        <w:gridCol w:w="2093"/>
        <w:gridCol w:w="2093"/>
        <w:gridCol w:w="2094"/>
      </w:tblGrid>
      <w:tr>
        <w:trPr>
          <w:tblHeader/>
        </w:trPr>
        <w:tc>
          <w:tcPr>
            <w:tcW w:type="dxa" w:w="209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مجال التطوير</w:t>
            </w:r>
          </w:p>
        </w:tc>
        <w:tc>
          <w:tcPr>
            <w:tcW w:type="dxa" w:w="209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النشاط التطويري (تدريب، تكليف، إرشاد، قراءة...)</w:t>
            </w:r>
          </w:p>
        </w:tc>
        <w:tc>
          <w:tcPr>
            <w:tcW w:type="dxa" w:w="209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الموعد المستهدف</w:t>
            </w:r>
          </w:p>
        </w:tc>
        <w:tc>
          <w:tcPr>
            <w:tcW w:type="dxa" w:w="209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مؤشر النجاح</w:t>
            </w:r>
          </w:p>
        </w:tc>
        <w:tc>
          <w:tcPr>
            <w:tcW w:type="dxa" w:w="2094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الدعم المطلوب من المدير / الموارد البشرية</w:t>
            </w:r>
          </w:p>
        </w:tc>
      </w:tr>
      <w:tr>
        <w:tc>
          <w:tcPr>
            <w:tcW w:type="dxa" w:w="209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تحليل أسباب شكاوى العملاء</w:t>
            </w:r>
          </w:p>
        </w:tc>
        <w:tc>
          <w:tcPr>
            <w:tcW w:type="dxa" w:w="209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ورشة في حل المشكلات وتحليل الأسباب الجذرية + قيادة مشروع لتحسين تجربة العميل في القسم</w:t>
            </w:r>
          </w:p>
        </w:tc>
        <w:tc>
          <w:tcPr>
            <w:tcW w:type="dxa" w:w="209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نهاية الربع الثاني</w:t>
            </w:r>
          </w:p>
        </w:tc>
        <w:tc>
          <w:tcPr>
            <w:tcW w:type="dxa" w:w="209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رفع مؤشر رضا العملاء من 52 إلى 60 نقطة</w:t>
            </w:r>
          </w:p>
        </w:tc>
        <w:tc>
          <w:tcPr>
            <w:tcW w:type="dxa" w:w="2094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اعتماد الورشة ومتابعة شهرية من المدير</w:t>
            </w:r>
          </w:p>
        </w:tc>
      </w:tr>
      <w:tr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209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0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9. الملاحظات والتوقيعات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  <w:gridCol w:w="3663"/>
      </w:tblGrid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ملاحظات الموظف (موافق / لديه ملاحظات)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ملاحظات المدير المباشر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ملاحظات المعتمد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تاريخ اجتماع مناقشة التقييم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توقيع الموظف والتاريخ (التوقيع يعني الاطلاع لا الموافقة بالضرورة)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توقيع المدير المباشر والتاريخ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اعتماد مدير الإدارة والتاريخ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3663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استلام الموارد البشرية والتاريخ</w:t>
            </w:r>
          </w:p>
        </w:tc>
        <w:tc>
          <w:tcPr>
            <w:tcW w:type="dxa" w:w="680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2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 w:hint="cs"/>
        <w:color w:val="777777"/>
        <w:sz w:val="16"/>
        <w:szCs w:val="16"/>
        <w:rtl/>
      </w:rPr>
      <w:t xml:space="preserve">نموذج مجاني من مدونة BMC Training · bmc.net/blog/ar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right"/>
      <w:pPr>
        <w:ind w:righ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تقييم الأداء الوظيفي</dc:title>
  <dc:creator>BMC Training</dc:creator>
  <cp:lastModifiedBy>Un-named</cp:lastModifiedBy>
  <cp:revision>1</cp:revision>
  <dcterms:created xsi:type="dcterms:W3CDTF">2026-11-03T02:39:28.494Z</dcterms:created>
  <dcterms:modified xsi:type="dcterms:W3CDTF">2026-11-03T02:39:28.495Z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